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A70EF2" w:rsidRPr="008007C0" w:rsidTr="003B333A">
        <w:trPr>
          <w:trHeight w:val="2967"/>
        </w:trPr>
        <w:tc>
          <w:tcPr>
            <w:tcW w:w="4890" w:type="dxa"/>
          </w:tcPr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 № _______</w:t>
            </w:r>
          </w:p>
          <w:p w:rsidR="00A70EF2" w:rsidRPr="008007C0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Pr="008007C0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A70EF2" w:rsidRPr="004E5D8C" w:rsidTr="003B333A">
        <w:tc>
          <w:tcPr>
            <w:tcW w:w="5920" w:type="dxa"/>
          </w:tcPr>
          <w:p w:rsidR="00A70EF2" w:rsidRPr="00A70EF2" w:rsidRDefault="00A70EF2" w:rsidP="00A70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</w:pPr>
            <w:r w:rsidRPr="00855E5F">
              <w:rPr>
                <w:rFonts w:ascii="Times New Roman" w:hAnsi="Times New Roman" w:cs="Times New Roman"/>
                <w:sz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етодических</w:t>
            </w: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рекомендации об условиях строительства, реконструкции и эксплуат</w:t>
            </w:r>
            <w:r w:rsidR="004C0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ации средств малого размещения </w:t>
            </w: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сезонного проживания отдыхающих и туристов на территорииг</w:t>
            </w:r>
            <w:proofErr w:type="gramStart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оль-Илецка Оренбургской области</w:t>
            </w:r>
          </w:p>
          <w:p w:rsidR="00A70EF2" w:rsidRPr="004E5D8C" w:rsidRDefault="00A70EF2" w:rsidP="003B333A">
            <w:pPr>
              <w:pStyle w:val="ConsPlusNormal"/>
              <w:tabs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70EF2" w:rsidRPr="002526A1" w:rsidRDefault="00A70EF2" w:rsidP="00D30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0C02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</w:t>
      </w:r>
      <w:r w:rsidRPr="002526A1">
        <w:rPr>
          <w:rFonts w:ascii="Times New Roman" w:hAnsi="Times New Roman" w:cs="Times New Roman"/>
          <w:sz w:val="28"/>
          <w:szCs w:val="28"/>
        </w:rPr>
        <w:t xml:space="preserve">, </w:t>
      </w:r>
      <w:r w:rsidR="00D30C02">
        <w:rPr>
          <w:rFonts w:ascii="Times New Roman" w:hAnsi="Times New Roman" w:cs="Times New Roman"/>
          <w:sz w:val="28"/>
          <w:szCs w:val="28"/>
        </w:rPr>
        <w:t xml:space="preserve"> в целях установления общих требований, регламентирующих условия проектирования, выдачи разрешений на строительство и ввод в эксплуатацию 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малого размещения для сезонного проживания отдыхающих и туристов на территорииг</w:t>
      </w:r>
      <w:proofErr w:type="gramStart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  <w:r w:rsidRPr="002526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0C02" w:rsidRPr="002526A1" w:rsidRDefault="00A70EF2" w:rsidP="00D30C0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8"/>
      <w:bookmarkEnd w:id="0"/>
      <w:r w:rsidRPr="00252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D30C02">
        <w:rPr>
          <w:rFonts w:ascii="Times New Roman" w:hAnsi="Times New Roman" w:cs="Times New Roman"/>
          <w:sz w:val="28"/>
        </w:rPr>
        <w:t>м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об условиях строительства, реконструкции и эксплуатации средств малого размещения </w:t>
      </w:r>
      <w:bookmarkStart w:id="1" w:name="_GoBack"/>
      <w:bookmarkEnd w:id="1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сезонного проживания отдыхающих и туристов на территорииг.Соль-Илецка Оренбургской области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(Приложение);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архитектуры, градостроительства и земельных отношений (Назипова Ф.Ф.) организовать работу по внесению  необходимых изменений в правила землепользования и застройки городского округа;</w:t>
      </w:r>
    </w:p>
    <w:p w:rsidR="00D30C02" w:rsidRPr="00D30C02" w:rsidRDefault="00D30C02" w:rsidP="00D30C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D30C02">
        <w:rPr>
          <w:szCs w:val="28"/>
        </w:rPr>
        <w:t>Контроль за</w:t>
      </w:r>
      <w:proofErr w:type="gramEnd"/>
      <w:r w:rsidRPr="00D30C02">
        <w:rPr>
          <w:szCs w:val="28"/>
        </w:rPr>
        <w:t xml:space="preserve"> исполнением настоящего постановления   возложить на  первого заместителя главы администрации городского округа - заместителя главы  администрации городского округа по строительству, транспорту, благоустройству и ЖКХ  Вдовкина В.П.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C02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  и подлежит к  размещению на официальном сайте администрации городского округа.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1983"/>
        <w:rPr>
          <w:rFonts w:ascii="Times New Roman" w:hAnsi="Times New Roman" w:cs="Times New Roman"/>
          <w:sz w:val="28"/>
          <w:szCs w:val="28"/>
        </w:rPr>
      </w:pP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А.А.Кузьмин</w:t>
      </w:r>
    </w:p>
    <w:p w:rsidR="00D30C02" w:rsidRDefault="00D30C02" w:rsidP="00D30C02">
      <w:pPr>
        <w:pStyle w:val="a5"/>
        <w:widowControl w:val="0"/>
        <w:spacing w:after="0"/>
        <w:ind w:left="1983"/>
        <w:rPr>
          <w:rFonts w:ascii="Times New Roman" w:hAnsi="Times New Roman" w:cs="Times New Roman"/>
          <w:sz w:val="28"/>
          <w:szCs w:val="28"/>
        </w:rPr>
      </w:pPr>
    </w:p>
    <w:p w:rsidR="00D30C02" w:rsidRPr="00CE7291" w:rsidRDefault="00D30C02" w:rsidP="00D30C02">
      <w:pPr>
        <w:pStyle w:val="a5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Pr="00CE7291">
        <w:rPr>
          <w:rFonts w:ascii="Times New Roman" w:hAnsi="Times New Roman" w:cs="Times New Roman"/>
          <w:color w:val="FFFFFF" w:themeColor="background1"/>
          <w:sz w:val="28"/>
        </w:rPr>
        <w:t xml:space="preserve">ерно </w:t>
      </w:r>
    </w:p>
    <w:p w:rsidR="00D30C02" w:rsidRPr="00CE7291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</w:rPr>
        <w:t>Ведущий специалист</w:t>
      </w:r>
      <w:r w:rsidRPr="00CE7291">
        <w:rPr>
          <w:rFonts w:ascii="Times New Roman" w:hAnsi="Times New Roman" w:cs="Times New Roman"/>
          <w:color w:val="FFFFFF" w:themeColor="background1"/>
          <w:sz w:val="28"/>
        </w:rPr>
        <w:tab/>
      </w:r>
    </w:p>
    <w:p w:rsidR="00D30C02" w:rsidRPr="00CE7291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</w:rPr>
        <w:t>организационного отдела                                                                       Е.В.Телушкина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 №_______</w:t>
      </w:r>
    </w:p>
    <w:p w:rsid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70EF2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</w:t>
      </w: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об условиях строительства, реконструкции и эксплуатации</w:t>
      </w:r>
      <w:r w:rsidR="00A70EF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малого размещения для сезонного проживания отдыхающих и туристов на территории</w:t>
      </w:r>
    </w:p>
    <w:p w:rsidR="00430D2D" w:rsidRP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13BDE" w:rsidRPr="00A70EF2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3BDE" w:rsidRPr="007F7837" w:rsidRDefault="00213BDE" w:rsidP="007F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D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7F7837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Методические рекомендации устанавливают общие требования, регламентирующие условия строительства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ввода в эксплуатацию  и эксплуатации средств малого размещениядля сезонного проживания отдыхающих и туристов 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</w:t>
      </w:r>
      <w:proofErr w:type="gramStart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оль-Илецка Оренбургской области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837" w:rsidRPr="007F7837" w:rsidRDefault="007F7837" w:rsidP="007F7837">
      <w:pPr>
        <w:shd w:val="clear" w:color="auto" w:fill="FFFFFF"/>
        <w:tabs>
          <w:tab w:val="left" w:pos="1134"/>
          <w:tab w:val="left" w:pos="127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1.2.Малое средство размещения: помещения, используемые организациями различных организационно-правовых форм, индивидуальными предпринимателями и физическими лицами, оборудованные для предоставления услуг размещения с номерным фондом не более 50 номеров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1.3.Малые средства размещения подразделяют на следующие группы: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малые гостиницы, малые отели и аналогичные малые средства размещения (малые мотели, малые пансионаты, малые загородные отели, малые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, малые туристские базы, малые хостелы, малые гостевые дома, малые сельские гостевые дома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мини-гостиницы, мини-отели и аналогичные мини-средства размещения (мини-мотели, мини-пансионаты,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мини-спа-отели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меблированные комнаты;</w:t>
      </w:r>
    </w:p>
    <w:p w:rsid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гостевые комнаты.</w:t>
      </w:r>
    </w:p>
    <w:p w:rsidR="00F75C07" w:rsidRDefault="00F75C0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F7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Малые средства размещения располагаются в отдельно стоящем здании или занимают часть здания с отдельным входом, за исключением меблированных и гостевых комнат, которые могут располагаться в части здания, подъезде жилого дома, на разных этажах и иметь общий вход с жильцами дома.</w:t>
      </w:r>
    </w:p>
    <w:p w:rsidR="00931625" w:rsidRDefault="00931625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Мини гостевой дом 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гостевой дом - строение, возведенное на участке, предоставленном под жилищное строительство или под размещение  объектов рекреационного назначения в установленном порядке, предназначенное: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проживания одной семьи и размещения отдыхающих не более 30 человек и с количеством номеров не более 15 (индивидуальный жилой дом);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размещения отдыхающих не более 30 человек и с количеством номеров не более 15 (нежилое помещение – гостевой дом).</w:t>
      </w:r>
    </w:p>
    <w:p w:rsidR="00A736A4" w:rsidRPr="00A70EF2" w:rsidRDefault="00A736A4" w:rsidP="007F7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36" w:rsidRPr="00430D2D" w:rsidRDefault="00480CBF" w:rsidP="00BB463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C07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г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остевой дом - строение, возведенное на участке, предоставленном под жилищное строительство или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размещение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рекреационного назначения в установленном порядке, предназначенное</w:t>
      </w:r>
      <w:r w:rsidR="00BB463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отдыхающих не более 100 человек  с количеством номеров не более 50 (нежилое помещение – гостевой дом).</w:t>
      </w:r>
    </w:p>
    <w:p w:rsidR="00213BDE" w:rsidRPr="00430D2D" w:rsidRDefault="00BB4636" w:rsidP="00213BDE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CB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Строения большей вместимости и с большим количеством номеров должны строиться и приниматься в эксплуатацию по государственным нормам, установленным для гостиниц с соответствующим изменением вида разрешенного использования земельного участка.</w:t>
      </w:r>
    </w:p>
    <w:p w:rsidR="00383EDB" w:rsidRDefault="00480CBF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 владельцами малых средств размещения </w:t>
      </w:r>
      <w:r w:rsidR="00383EDB">
        <w:rPr>
          <w:rFonts w:ascii="Times New Roman" w:hAnsi="Times New Roman" w:cs="Times New Roman"/>
          <w:sz w:val="28"/>
          <w:szCs w:val="28"/>
        </w:rPr>
        <w:t xml:space="preserve">налоговых обязательства перед бюджетом, им   рекомендуется  выбрать статус </w:t>
      </w:r>
      <w:proofErr w:type="spellStart"/>
      <w:r w:rsidR="00383ED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383EDB">
        <w:rPr>
          <w:rFonts w:ascii="Times New Roman" w:hAnsi="Times New Roman" w:cs="Times New Roman"/>
          <w:sz w:val="28"/>
          <w:szCs w:val="28"/>
        </w:rPr>
        <w:t>. Возможны следующие варианты.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Наймодатель - физическое лицо. Размер налога на доходы физических лиц (НДФЛ) составляет 13% от суммы, полученной от нанимателя жилого помещения, за соответствующий год. При этом в срок до 30 апреля следующего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представить в налоговый орган налоговую декларацию по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3-НДФЛ</w:t>
        </w:r>
      </w:hyperlink>
      <w:r>
        <w:rPr>
          <w:rFonts w:ascii="Times New Roman" w:hAnsi="Times New Roman" w:cs="Times New Roman"/>
          <w:sz w:val="28"/>
          <w:szCs w:val="28"/>
        </w:rPr>
        <w:t>, а в срок до 15 июля - уплатить налог в бюджет.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Наймодатель - индивидуальный предприниматель, применяющий упрощенную систему налогообложения. В рамках данной налоговой системы возможно применение либо ставки</w:t>
      </w:r>
      <w:r w:rsidR="00F34B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6% от суммы полученных доходов, либо 15% от суммы доходов,</w:t>
      </w:r>
      <w:r w:rsidR="00F34BD6">
        <w:rPr>
          <w:rFonts w:ascii="Times New Roman" w:hAnsi="Times New Roman" w:cs="Times New Roman"/>
          <w:sz w:val="28"/>
          <w:szCs w:val="28"/>
        </w:rPr>
        <w:t xml:space="preserve"> уменьшенных на сумму расходов </w:t>
      </w:r>
      <w:r>
        <w:rPr>
          <w:rFonts w:ascii="Times New Roman" w:hAnsi="Times New Roman" w:cs="Times New Roman"/>
          <w:sz w:val="28"/>
          <w:szCs w:val="28"/>
        </w:rPr>
        <w:t>(коммунальные платежи к таким расходам не относятся).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авансовые платежи по налогу подлежат уплате ежеквартально (не позднее 25-го числа следующего месяца), а сумма налога, исчисленная по итогам года, - не позднее 30 апреля следующего года. Налоговая декларация сдается в срок до 30 апреля следующего года.</w:t>
      </w:r>
    </w:p>
    <w:p w:rsidR="009958E6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  <w:r>
        <w:rPr>
          <w:rFonts w:ascii="Times New Roman" w:hAnsi="Times New Roman" w:cs="Times New Roman"/>
          <w:sz w:val="28"/>
          <w:szCs w:val="28"/>
        </w:rPr>
        <w:t xml:space="preserve">Наймодатель - индивидуальный предприниматель, применяющий патентную систему налогообложения. Размер налога составляет 6% от потенциально возможного к получению годового дохода, сумма которого устанавливается субъектами РФ. 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налога производится в следующие сроки: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патент получен на срок до шести месяцев - в размере полной суммы налога в срок не позднее срока окончания действия патента;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патент получен на срок от шести месяцев до календарного года - в размере 1/3 суммы налога в срок не позднее 90 календарных дней после начала действия патента и в размере 2/3 суммы налога в срок не позднее срока окончания действия патента.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 в налоговые органы не представляется.</w:t>
      </w:r>
    </w:p>
    <w:p w:rsidR="000F20C4" w:rsidRDefault="008F536F" w:rsidP="00383EDB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земельном участке, объемно-планировочные и конструктивные решения, инженерное оборудование гостевого дома должны соответствовать требованиям </w:t>
      </w:r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РФ:</w:t>
      </w:r>
    </w:p>
    <w:p w:rsidR="00C81881" w:rsidRDefault="00C81881" w:rsidP="00F6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1881">
        <w:t xml:space="preserve">- </w:t>
      </w:r>
      <w:hyperlink r:id="rId6" w:history="1">
        <w:r w:rsidRPr="00C8188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"Технический регламент о безопасности зданий и сооружений" от 30.12.2009 г. N 384-ФЗ</w:t>
        </w:r>
      </w:hyperlink>
      <w:r w:rsidR="00F671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3"/>
      </w:tblGrid>
      <w:tr w:rsidR="00C81881" w:rsidRPr="00C81881" w:rsidTr="00EE7D1B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881" w:rsidRDefault="00C81881" w:rsidP="00F67120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C81881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 xml:space="preserve">Федеральный закон от 22.07.2008 г. N 123-ФЗ "Технический </w:t>
              </w:r>
              <w:r w:rsidRPr="00C81881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lastRenderedPageBreak/>
                <w:t>регламент о требованиях пожарной безопасности"</w:t>
              </w:r>
            </w:hyperlink>
            <w:r w:rsidR="00F671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67120" w:rsidRPr="00667AF9" w:rsidRDefault="00F67120" w:rsidP="00F67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67AF9">
                <w:rPr>
                  <w:rFonts w:ascii="Times New Roman" w:hAnsi="Times New Roman" w:cs="Times New Roman"/>
                  <w:sz w:val="28"/>
                  <w:szCs w:val="28"/>
                </w:rPr>
                <w:t>СП 42.13330.2011</w:t>
              </w:r>
            </w:hyperlink>
            <w:r w:rsidRPr="00667AF9">
              <w:rPr>
                <w:rFonts w:ascii="Times New Roman" w:hAnsi="Times New Roman" w:cs="Times New Roman"/>
                <w:sz w:val="28"/>
                <w:szCs w:val="28"/>
              </w:rPr>
              <w:t xml:space="preserve"> "СНиП 2.07.01-89* Градостроительство. Планировка и застройки городских и сельских поселений"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881" w:rsidRPr="00C81881" w:rsidRDefault="00F67120" w:rsidP="00F67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67AF9">
                <w:rPr>
                  <w:rFonts w:ascii="Times New Roman" w:hAnsi="Times New Roman" w:cs="Times New Roman"/>
                  <w:sz w:val="28"/>
                  <w:szCs w:val="28"/>
                </w:rPr>
                <w:t>СП 44.13330.2011</w:t>
              </w:r>
            </w:hyperlink>
            <w:r w:rsidRPr="00667AF9">
              <w:rPr>
                <w:rFonts w:ascii="Times New Roman" w:hAnsi="Times New Roman" w:cs="Times New Roman"/>
                <w:sz w:val="28"/>
                <w:szCs w:val="28"/>
              </w:rPr>
              <w:t xml:space="preserve"> "СНиП 2.09.04-87* Административные и бытовые здания"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1881" w:rsidRPr="00C81881" w:rsidTr="00EE7D1B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881" w:rsidRPr="00C81881" w:rsidRDefault="00C81881" w:rsidP="00F67120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818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СанПиН 2.2.4/2.1.8.10-32-2002* Шум на рабочих местах, в помещениях жилых, общественных зданий и на территории жилой застройки</w:t>
            </w:r>
            <w:r w:rsidR="00F671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</w:tc>
      </w:tr>
    </w:tbl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ГОСТ 30494-96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Здания жилые и общественные. Параметры микроклимата в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667AF9" w:rsidRPr="00667AF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 53423-2009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Гостиницы и другие средства размещения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667AF9" w:rsidRPr="00667AF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 54257-2010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Надежность строител</w:t>
      </w:r>
      <w:r>
        <w:rPr>
          <w:rFonts w:ascii="Times New Roman" w:hAnsi="Times New Roman" w:cs="Times New Roman"/>
          <w:sz w:val="28"/>
          <w:szCs w:val="28"/>
        </w:rPr>
        <w:t xml:space="preserve">ьных конструкций и оснований. </w:t>
      </w:r>
      <w:r w:rsidR="00667AF9" w:rsidRPr="00667AF9">
        <w:rPr>
          <w:rFonts w:ascii="Times New Roman" w:hAnsi="Times New Roman" w:cs="Times New Roman"/>
          <w:sz w:val="28"/>
          <w:szCs w:val="28"/>
        </w:rPr>
        <w:t>Основные положения и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1.13130.2009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Эвакуационные пути и выходы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4.13130.2009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Ограничения распространения пожара на объектах защиты. Требования объемно-планировочным и конструктивным решениям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Установка пожарной сигнализации пожаротушения автоматическая. Нормы и правила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7.13130.2009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Отопление, вентиляция и кондиционирование. Противопожарные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10.13130.2009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Внутренний противопожарный водопровод.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30.13330.2012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2.04.01-85* Внутренний водопровод и канализация зданий"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23-02-2003 Тепловая защита зданий"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51.13330.2011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23-03-2003 Защита от шума"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52.13330.2011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23-05-95* Естественное и искусственное освещение"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59.13330.2012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35-01-2001 Доступность зданий и сооружений для маломобильных групп населения"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60.13330.2012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41-01-2003 Отопление, вентиляция и кондиционирование"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62.13330.2011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42-01-2002 Газораспределительные системы"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AF9" w:rsidRPr="00667AF9" w:rsidRDefault="00667AF9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строительства гостевого дома</w:t>
      </w:r>
    </w:p>
    <w:p w:rsidR="00213BDE" w:rsidRPr="00430D2D" w:rsidRDefault="00213BDE" w:rsidP="00F6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Разрешение на строительство гостевого дома выдается органом местного самоуправления муниципального образования в установленном порядке</w:t>
      </w:r>
      <w:r w:rsidR="00494FD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предоставленных для жилищного строительства или объектов рекреационного назначения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Порядок выдачи разрешений на строительство и реконструкцию гостевого дома должен соответствовать статье 51 Градостроительного кодекса Российской Федерации.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требования к обустройству гостевого дома, земельного участка и прилегающей территории: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 застройки под зданиями, расположенными на участке,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от общей площа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земельного участка до 500 м</w:t>
      </w:r>
      <w:proofErr w:type="gramStart"/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- 50%, до 7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- 55%, до 9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- 60% 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-70%.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 должен быть обеспечен пожарным подъездом;</w:t>
      </w:r>
    </w:p>
    <w:p w:rsidR="00EB62A7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</w:t>
      </w:r>
      <w:r w:rsidR="008F536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зданий средств малого размещения </w:t>
      </w:r>
      <w:r w:rsidR="005A7E48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более 3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этажей, включая цокольный, надземные и мансардный этажи;</w:t>
      </w:r>
    </w:p>
    <w:p w:rsidR="00893BBD" w:rsidRDefault="00EB62A7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мест парковок легковых автомобилей отдыхающих   </w:t>
      </w:r>
      <w:r w:rsidR="006563A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прилегающе</w:t>
      </w:r>
      <w:r w:rsidR="0065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домовладению участке улицы</w:t>
      </w:r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владельцам малых средств</w:t>
      </w:r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65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заключить соглашение с  администрацией городского ок</w:t>
      </w:r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по обустройству и содержанию парковочных ме</w:t>
      </w:r>
      <w:proofErr w:type="gramStart"/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гр</w:t>
      </w:r>
      <w:proofErr w:type="gramEnd"/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аницах земель общего пользования.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Строительство и реконструкция здания или помещений гостевого дома, а также строительный надзор должны осуществляться в соответствии с действующими техническими регламентами и порядком, определенным статьями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213BDE" w:rsidRPr="00430D2D" w:rsidRDefault="00213BDE" w:rsidP="00F67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Условия эксплуатации гостевого дома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Ввод в эксплуатацию построенных или реконструированных объектов осуществляется в порядке, установленном статьей 55 Градостроительного кодекса Российской Федерации.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считается готовым к эксплуатации после оформления разрешения на ввод в эксплуатацию в установленном порядке и регистрации необходимых документов в налоговых органах и учреждении юстиции.</w:t>
      </w:r>
    </w:p>
    <w:p w:rsidR="00213BDE" w:rsidRPr="00430D2D" w:rsidRDefault="009958E6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 малого размещения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эксплуатацию как самостоятельные объекты недвижимости, построенные на земельных участках, предоставленных для жилищного строительства или объектов рекреационного назначения на правах собственности или аренды.</w:t>
      </w:r>
    </w:p>
    <w:p w:rsidR="00213BDE" w:rsidRPr="00430D2D" w:rsidRDefault="005A7E48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Проживание в  средствах малого размещения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числа человек, чем указано в проектной документации не допускается.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Предприниматель - собственник объекта, арендатор или лицо, эксплуатирующее объект, обязаны вести регистрационную документацию временно проживающих граждан по </w:t>
      </w:r>
      <w:r w:rsidR="00CE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 (Приложение)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Регистрационные документы должны постоянно находиться на объекте.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Стоимость коммунальных услуг для инженерного обеспечения гостевых домов устанавливается по тарифам 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 городского округа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DE" w:rsidRPr="00430D2D" w:rsidRDefault="009958E6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Каждое средство малого размещения  должно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учета энергоносителей (газ, элек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троэнергия), холодной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EB62A7" w:rsidRPr="00430D2D" w:rsidRDefault="00EB62A7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A7" w:rsidRPr="00430D2D" w:rsidRDefault="00EB62A7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91" w:rsidRDefault="00605191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191" w:rsidRDefault="00605191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 об условиях строительства, реконструкции и эксплуатации средств малого в для сезонного проживания отдыхающих и туристов на территории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–Илецка Оренбургской области</w:t>
      </w:r>
    </w:p>
    <w:p w:rsidR="005B542F" w:rsidRPr="00A70EF2" w:rsidRDefault="00213BDE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="001A50F7" w:rsidRPr="00A70EF2">
        <w:rPr>
          <w:b w:val="0"/>
          <w:bCs w:val="0"/>
          <w:sz w:val="28"/>
          <w:szCs w:val="28"/>
        </w:rPr>
        <w:t>ЖУРНАЛ</w:t>
      </w:r>
    </w:p>
    <w:p w:rsidR="009958E6" w:rsidRDefault="001A50F7" w:rsidP="009958E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регис</w:t>
      </w:r>
      <w:r w:rsidR="005B542F" w:rsidRPr="00A70EF2">
        <w:rPr>
          <w:b w:val="0"/>
          <w:bCs w:val="0"/>
          <w:sz w:val="28"/>
          <w:szCs w:val="28"/>
        </w:rPr>
        <w:t>тр</w:t>
      </w:r>
      <w:r w:rsidR="009958E6">
        <w:rPr>
          <w:b w:val="0"/>
          <w:bCs w:val="0"/>
          <w:sz w:val="28"/>
          <w:szCs w:val="28"/>
        </w:rPr>
        <w:t xml:space="preserve">ации отдыхающих  </w:t>
      </w:r>
      <w:proofErr w:type="gramStart"/>
      <w:r w:rsidR="009958E6">
        <w:rPr>
          <w:b w:val="0"/>
          <w:bCs w:val="0"/>
          <w:sz w:val="28"/>
          <w:szCs w:val="28"/>
        </w:rPr>
        <w:t>в</w:t>
      </w:r>
      <w:proofErr w:type="gramEnd"/>
      <w:r w:rsidR="009958E6">
        <w:rPr>
          <w:b w:val="0"/>
          <w:bCs w:val="0"/>
          <w:sz w:val="28"/>
          <w:szCs w:val="28"/>
        </w:rPr>
        <w:t xml:space="preserve"> _________________</w:t>
      </w:r>
      <w:r w:rsidR="005B542F" w:rsidRPr="00A70EF2">
        <w:rPr>
          <w:b w:val="0"/>
          <w:bCs w:val="0"/>
          <w:sz w:val="28"/>
          <w:szCs w:val="28"/>
        </w:rPr>
        <w:t xml:space="preserve"> по адресу:</w:t>
      </w:r>
    </w:p>
    <w:p w:rsidR="009958E6" w:rsidRPr="009958E6" w:rsidRDefault="009958E6" w:rsidP="009958E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0"/>
          <w:szCs w:val="20"/>
        </w:rPr>
      </w:pPr>
      <w:r w:rsidRPr="009958E6">
        <w:rPr>
          <w:b w:val="0"/>
          <w:bCs w:val="0"/>
          <w:sz w:val="20"/>
          <w:szCs w:val="20"/>
        </w:rPr>
        <w:t>(наименование средства малого размещения)</w:t>
      </w:r>
    </w:p>
    <w:p w:rsidR="005B542F" w:rsidRPr="00A70EF2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_________________</w:t>
      </w:r>
      <w:r w:rsidR="009958E6">
        <w:rPr>
          <w:b w:val="0"/>
          <w:bCs w:val="0"/>
          <w:sz w:val="28"/>
          <w:szCs w:val="28"/>
        </w:rPr>
        <w:t>____________________________________</w:t>
      </w:r>
    </w:p>
    <w:p w:rsid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tbl>
      <w:tblPr>
        <w:tblStyle w:val="a8"/>
        <w:tblW w:w="9393" w:type="dxa"/>
        <w:tblLayout w:type="fixed"/>
        <w:tblLook w:val="04A0"/>
      </w:tblPr>
      <w:tblGrid>
        <w:gridCol w:w="804"/>
        <w:gridCol w:w="1714"/>
        <w:gridCol w:w="1026"/>
        <w:gridCol w:w="1384"/>
        <w:gridCol w:w="1417"/>
        <w:gridCol w:w="1016"/>
        <w:gridCol w:w="1016"/>
        <w:gridCol w:w="1016"/>
      </w:tblGrid>
      <w:tr w:rsidR="005B542F" w:rsidTr="005B542F">
        <w:tc>
          <w:tcPr>
            <w:tcW w:w="80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№</w:t>
            </w:r>
          </w:p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color w:val="111111"/>
                <w:sz w:val="28"/>
                <w:szCs w:val="28"/>
              </w:rPr>
              <w:t>/п</w:t>
            </w:r>
          </w:p>
        </w:tc>
        <w:tc>
          <w:tcPr>
            <w:tcW w:w="171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Ф.И.О.</w:t>
            </w:r>
          </w:p>
        </w:tc>
        <w:tc>
          <w:tcPr>
            <w:tcW w:w="102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Год рождения</w:t>
            </w:r>
          </w:p>
        </w:tc>
        <w:tc>
          <w:tcPr>
            <w:tcW w:w="138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Паспортные данные*</w:t>
            </w:r>
          </w:p>
        </w:tc>
        <w:tc>
          <w:tcPr>
            <w:tcW w:w="1417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Прописка</w:t>
            </w:r>
          </w:p>
        </w:tc>
        <w:tc>
          <w:tcPr>
            <w:tcW w:w="2032" w:type="dxa"/>
            <w:gridSpan w:val="2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 xml:space="preserve">Фактическое </w:t>
            </w:r>
            <w:proofErr w:type="spellStart"/>
            <w:r>
              <w:rPr>
                <w:b w:val="0"/>
                <w:bCs w:val="0"/>
                <w:color w:val="111111"/>
                <w:sz w:val="28"/>
                <w:szCs w:val="28"/>
              </w:rPr>
              <w:t>прибывание</w:t>
            </w:r>
            <w:proofErr w:type="spellEnd"/>
          </w:p>
        </w:tc>
        <w:tc>
          <w:tcPr>
            <w:tcW w:w="101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Примечания</w:t>
            </w:r>
          </w:p>
        </w:tc>
      </w:tr>
      <w:tr w:rsidR="005B542F" w:rsidTr="005B542F">
        <w:tc>
          <w:tcPr>
            <w:tcW w:w="80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 заезда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выезда</w:t>
            </w:r>
          </w:p>
        </w:tc>
        <w:tc>
          <w:tcPr>
            <w:tcW w:w="101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8</w:t>
            </w: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</w:tbl>
    <w:p w:rsidR="005B542F" w:rsidRP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p w:rsidR="001A50F7" w:rsidRPr="00430D2D" w:rsidRDefault="00430D2D" w:rsidP="00430D2D">
      <w:pPr>
        <w:pStyle w:val="a5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*При необходимости  заключить соглашение на обработку персональных данных</w:t>
      </w:r>
    </w:p>
    <w:p w:rsidR="00290234" w:rsidRPr="00213BDE" w:rsidRDefault="00290234" w:rsidP="00213BDE">
      <w:pPr>
        <w:rPr>
          <w:rFonts w:ascii="Times New Roman" w:hAnsi="Times New Roman" w:cs="Times New Roman"/>
          <w:sz w:val="28"/>
          <w:szCs w:val="28"/>
        </w:rPr>
      </w:pPr>
    </w:p>
    <w:sectPr w:rsidR="00290234" w:rsidRPr="00213BDE" w:rsidSect="00D30C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78"/>
    <w:multiLevelType w:val="hybridMultilevel"/>
    <w:tmpl w:val="5BBC9A46"/>
    <w:lvl w:ilvl="0" w:tplc="E83CCEBA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49D"/>
    <w:multiLevelType w:val="multilevel"/>
    <w:tmpl w:val="5BC4E44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05260"/>
    <w:multiLevelType w:val="hybridMultilevel"/>
    <w:tmpl w:val="6DAE0622"/>
    <w:lvl w:ilvl="0" w:tplc="2EE093A4">
      <w:start w:val="1"/>
      <w:numFmt w:val="decimal"/>
      <w:lvlText w:val="%1."/>
      <w:lvlJc w:val="left"/>
      <w:pPr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802D7"/>
    <w:multiLevelType w:val="hybridMultilevel"/>
    <w:tmpl w:val="2A683252"/>
    <w:lvl w:ilvl="0" w:tplc="2C2E29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DE"/>
    <w:rsid w:val="00092921"/>
    <w:rsid w:val="000F20C4"/>
    <w:rsid w:val="001A50F7"/>
    <w:rsid w:val="00213BDE"/>
    <w:rsid w:val="00290234"/>
    <w:rsid w:val="00383EDB"/>
    <w:rsid w:val="00387E81"/>
    <w:rsid w:val="00403071"/>
    <w:rsid w:val="00430D2D"/>
    <w:rsid w:val="00480CBF"/>
    <w:rsid w:val="00494FD6"/>
    <w:rsid w:val="004A52C8"/>
    <w:rsid w:val="004C0244"/>
    <w:rsid w:val="005053EB"/>
    <w:rsid w:val="005A7E48"/>
    <w:rsid w:val="005B542F"/>
    <w:rsid w:val="00605191"/>
    <w:rsid w:val="00633020"/>
    <w:rsid w:val="006563A6"/>
    <w:rsid w:val="00667AF9"/>
    <w:rsid w:val="00727022"/>
    <w:rsid w:val="007F7837"/>
    <w:rsid w:val="00893BBD"/>
    <w:rsid w:val="008F536F"/>
    <w:rsid w:val="008F7F2C"/>
    <w:rsid w:val="00931625"/>
    <w:rsid w:val="009324FE"/>
    <w:rsid w:val="009621FE"/>
    <w:rsid w:val="009958E6"/>
    <w:rsid w:val="00A12DAF"/>
    <w:rsid w:val="00A70EF2"/>
    <w:rsid w:val="00A736A4"/>
    <w:rsid w:val="00BB4636"/>
    <w:rsid w:val="00C81881"/>
    <w:rsid w:val="00CE7291"/>
    <w:rsid w:val="00D30C02"/>
    <w:rsid w:val="00E31E99"/>
    <w:rsid w:val="00EB62A7"/>
    <w:rsid w:val="00F34BD6"/>
    <w:rsid w:val="00F41D95"/>
    <w:rsid w:val="00F67120"/>
    <w:rsid w:val="00F7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</w:style>
  <w:style w:type="paragraph" w:styleId="1">
    <w:name w:val="heading 1"/>
    <w:basedOn w:val="a"/>
    <w:next w:val="a"/>
    <w:link w:val="10"/>
    <w:uiPriority w:val="9"/>
    <w:qFormat/>
    <w:rsid w:val="0089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1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1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08C2902AB392BAAF59743DFA4B334E2430ACF3DFBB4E0B3DDF59qFj5F" TargetMode="External"/><Relationship Id="rId13" Type="http://schemas.openxmlformats.org/officeDocument/2006/relationships/hyperlink" Target="consultantplus://offline/ref=206C08C2902AB392BAAF59743DFA4B334E243CADFCDFBB4E0B3DDF59qFj5F" TargetMode="External"/><Relationship Id="rId18" Type="http://schemas.openxmlformats.org/officeDocument/2006/relationships/hyperlink" Target="consultantplus://offline/ref=206C08C2902AB392BAAF59743DFA4B334E2331A8FCDFBB4E0B3DDF59qFj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6C08C2902AB392BAAF59743DFA4B334E243FA3FADFBB4E0B3DDF59qFj5F" TargetMode="Externa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consultantplus://offline/ref=206C08C2902AB392BAAF59743DFA4B334E203CA2FBDFBB4E0B3DDF59qFj5F" TargetMode="External"/><Relationship Id="rId17" Type="http://schemas.openxmlformats.org/officeDocument/2006/relationships/hyperlink" Target="consultantplus://offline/ref=206C08C2902AB392BAAF59743DFA4B334E243CADFDDFBB4E0B3DDF59qFj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C08C2902AB392BAAF59743DFA4B334E273EACFBDFBB4E0B3DDF59qFj5F" TargetMode="External"/><Relationship Id="rId20" Type="http://schemas.openxmlformats.org/officeDocument/2006/relationships/hyperlink" Target="consultantplus://offline/ref=206C08C2902AB392BAAF59743DFA4B334E243FABF3DFBB4E0B3DDF59qFj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consultantplus://offline/ref=206C08C2902AB392BAAF457421FA4B334A2738A9F182B1465231DDq5jEF" TargetMode="External"/><Relationship Id="rId24" Type="http://schemas.openxmlformats.org/officeDocument/2006/relationships/hyperlink" Target="consultantplus://offline/ref=206C08C2902AB392BAAF59743DFA4B334E243FACF8DFBB4E0B3DDF59qFj5F" TargetMode="External"/><Relationship Id="rId5" Type="http://schemas.openxmlformats.org/officeDocument/2006/relationships/hyperlink" Target="consultantplus://offline/ref=4A8A8A4CB421062E3B2E874FF2F80B4E3D6B67682D4203347BFE5760E020BBA3B0D47B93E2B3C58DWCgEG" TargetMode="External"/><Relationship Id="rId15" Type="http://schemas.openxmlformats.org/officeDocument/2006/relationships/hyperlink" Target="consultantplus://offline/ref=206C08C2902AB392BAAF59743DFA4B334E2431ACFCDFBB4E0B3DDF59qFj5F" TargetMode="External"/><Relationship Id="rId23" Type="http://schemas.openxmlformats.org/officeDocument/2006/relationships/hyperlink" Target="consultantplus://offline/ref=206C08C2902AB392BAAF59743DFA4B334E2139ABF8DFBB4E0B3DDF59qFj5F" TargetMode="External"/><Relationship Id="rId10" Type="http://schemas.openxmlformats.org/officeDocument/2006/relationships/hyperlink" Target="consultantplus://offline/ref=206C08C2902AB392BAAF59743DFA4B334D213CA2F182B1465231DDq5jEF" TargetMode="External"/><Relationship Id="rId19" Type="http://schemas.openxmlformats.org/officeDocument/2006/relationships/hyperlink" Target="consultantplus://offline/ref=206C08C2902AB392BAAF59743DFA4B334E213AACFFDFBB4E0B3DDF59qF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C08C2902AB392BAAF59743DFA4B334D273EADFFDFBB4E0B3DDF59qFj5F" TargetMode="External"/><Relationship Id="rId14" Type="http://schemas.openxmlformats.org/officeDocument/2006/relationships/hyperlink" Target="consultantplus://offline/ref=206C08C2902AB392BAAF59743DFA4B334E2431ACFFDFBB4E0B3DDF59qFj5F" TargetMode="External"/><Relationship Id="rId22" Type="http://schemas.openxmlformats.org/officeDocument/2006/relationships/hyperlink" Target="consultantplus://offline/ref=206C08C2902AB392BAAF59743DFA4B334E2E3CAFFCDFBB4E0B3DDF59qFj5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2017-03-27T04:48:00Z</cp:lastPrinted>
  <dcterms:created xsi:type="dcterms:W3CDTF">2017-06-02T07:33:00Z</dcterms:created>
  <dcterms:modified xsi:type="dcterms:W3CDTF">2017-06-02T07:33:00Z</dcterms:modified>
</cp:coreProperties>
</file>